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B883" w14:textId="053A4B27" w:rsidR="001A79D8" w:rsidRPr="001A79D8" w:rsidRDefault="00044978" w:rsidP="001A79D8">
      <w:pPr>
        <w:rPr>
          <w:rFonts w:ascii="Work Sans" w:hAnsi="Work Sans"/>
          <w:b/>
          <w:sz w:val="28"/>
          <w:u w:val="single"/>
        </w:rPr>
      </w:pPr>
      <w:r w:rsidRPr="00A92E03">
        <w:rPr>
          <w:rFonts w:ascii="Work Sans" w:hAnsi="Work Sans"/>
          <w:b/>
          <w:sz w:val="28"/>
          <w:u w:val="single"/>
        </w:rPr>
        <w:t>Frequently Asked Questions</w:t>
      </w:r>
      <w:r w:rsidR="001A79D8" w:rsidRPr="001A79D8">
        <w:rPr>
          <w:rFonts w:ascii="Work Sans" w:hAnsi="Work Sans"/>
          <w:b/>
          <w:sz w:val="28"/>
        </w:rPr>
        <w:t xml:space="preserve"> </w:t>
      </w:r>
      <w:r w:rsidR="001A79D8" w:rsidRPr="001A79D8">
        <w:rPr>
          <w:rFonts w:ascii="Work Sans" w:hAnsi="Work Sans"/>
          <w:bCs/>
          <w:sz w:val="20"/>
          <w:szCs w:val="20"/>
        </w:rPr>
        <w:t>This FAQ document has been developed to promote the sharing of accurate and consistent</w:t>
      </w:r>
      <w:r w:rsidR="001A79D8">
        <w:rPr>
          <w:rFonts w:ascii="Work Sans" w:hAnsi="Work Sans"/>
          <w:bCs/>
          <w:sz w:val="20"/>
          <w:szCs w:val="20"/>
        </w:rPr>
        <w:t xml:space="preserve"> information to all transferring staff. We will endeavour to provide regular updates to these FAQs.</w:t>
      </w:r>
    </w:p>
    <w:p w14:paraId="6A90705C" w14:textId="77777777" w:rsidR="001A79D8" w:rsidRDefault="001A79D8" w:rsidP="001A79D8">
      <w:pPr>
        <w:jc w:val="center"/>
        <w:rPr>
          <w:rFonts w:ascii="Work Sans" w:hAnsi="Work Sans"/>
          <w:b/>
          <w:u w:val="single"/>
        </w:rPr>
      </w:pPr>
    </w:p>
    <w:p w14:paraId="7D43583B" w14:textId="77777777" w:rsidR="001A79D8" w:rsidRPr="001A79D8" w:rsidRDefault="001A79D8" w:rsidP="001A79D8">
      <w:pPr>
        <w:jc w:val="center"/>
        <w:rPr>
          <w:rFonts w:ascii="Work Sans" w:hAnsi="Work Sans"/>
          <w:b/>
          <w:u w:val="single"/>
        </w:rPr>
      </w:pPr>
    </w:p>
    <w:tbl>
      <w:tblPr>
        <w:tblStyle w:val="TableGrid"/>
        <w:tblpPr w:leftFromText="180" w:rightFromText="180" w:horzAnchor="margin" w:tblpY="1620"/>
        <w:tblW w:w="5000" w:type="pct"/>
        <w:tblLook w:val="04A0" w:firstRow="1" w:lastRow="0" w:firstColumn="1" w:lastColumn="0" w:noHBand="0" w:noVBand="1"/>
      </w:tblPr>
      <w:tblGrid>
        <w:gridCol w:w="4506"/>
        <w:gridCol w:w="4510"/>
      </w:tblGrid>
      <w:tr w:rsidR="00044978" w:rsidRPr="00A92E03" w14:paraId="517C0951" w14:textId="77777777" w:rsidTr="001A79D8">
        <w:tc>
          <w:tcPr>
            <w:tcW w:w="2499" w:type="pct"/>
            <w:hideMark/>
          </w:tcPr>
          <w:p w14:paraId="0223D7F3" w14:textId="77777777" w:rsidR="00044978" w:rsidRPr="00A92E03" w:rsidRDefault="00EE3E8C" w:rsidP="00FD73B2">
            <w:pPr>
              <w:rPr>
                <w:rFonts w:ascii="Work Sans" w:hAnsi="Work Sans" w:cs="Tahoma"/>
                <w:b/>
                <w:bCs/>
                <w:sz w:val="20"/>
                <w:szCs w:val="20"/>
              </w:rPr>
            </w:pPr>
            <w:r w:rsidRPr="00A92E03">
              <w:rPr>
                <w:rFonts w:ascii="Work Sans" w:hAnsi="Work Sans" w:cs="Tahoma"/>
                <w:b/>
                <w:bCs/>
                <w:sz w:val="20"/>
                <w:szCs w:val="20"/>
              </w:rPr>
              <w:t>Questions</w:t>
            </w:r>
          </w:p>
        </w:tc>
        <w:tc>
          <w:tcPr>
            <w:tcW w:w="2501" w:type="pct"/>
            <w:hideMark/>
          </w:tcPr>
          <w:p w14:paraId="34202D71" w14:textId="77777777" w:rsidR="00044978" w:rsidRPr="00A92E03" w:rsidRDefault="00EE3E8C" w:rsidP="00FD73B2">
            <w:pPr>
              <w:rPr>
                <w:rFonts w:ascii="Work Sans" w:hAnsi="Work Sans" w:cs="Tahoma"/>
                <w:b/>
                <w:bCs/>
                <w:sz w:val="20"/>
                <w:szCs w:val="20"/>
              </w:rPr>
            </w:pPr>
            <w:r w:rsidRPr="00A92E03">
              <w:rPr>
                <w:rFonts w:ascii="Work Sans" w:hAnsi="Work Sans" w:cs="Tahoma"/>
                <w:b/>
                <w:bCs/>
                <w:sz w:val="20"/>
                <w:szCs w:val="20"/>
              </w:rPr>
              <w:t>Answers</w:t>
            </w:r>
          </w:p>
        </w:tc>
      </w:tr>
      <w:tr w:rsidR="00044978" w:rsidRPr="00A92E03" w14:paraId="215F3DE4" w14:textId="77777777" w:rsidTr="001A79D8">
        <w:tc>
          <w:tcPr>
            <w:tcW w:w="2499" w:type="pct"/>
            <w:hideMark/>
          </w:tcPr>
          <w:p w14:paraId="1E7E3AED"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t xml:space="preserve">How long would </w:t>
            </w:r>
            <w:r w:rsidR="00EE3E8C" w:rsidRPr="00A92E03">
              <w:rPr>
                <w:rFonts w:ascii="Work Sans" w:hAnsi="Work Sans" w:cs="Tahoma"/>
                <w:sz w:val="20"/>
                <w:szCs w:val="20"/>
              </w:rPr>
              <w:t>my</w:t>
            </w:r>
            <w:r w:rsidRPr="00A92E03">
              <w:rPr>
                <w:rFonts w:ascii="Work Sans" w:hAnsi="Work Sans" w:cs="Tahoma"/>
                <w:sz w:val="20"/>
                <w:szCs w:val="20"/>
              </w:rPr>
              <w:t xml:space="preserve"> T&amp;Cs be protected by the TUPE legislation?</w:t>
            </w:r>
          </w:p>
        </w:tc>
        <w:tc>
          <w:tcPr>
            <w:tcW w:w="2501" w:type="pct"/>
          </w:tcPr>
          <w:p w14:paraId="6BA7490C"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t>T&amp;Cs are indefinitely protected.</w:t>
            </w:r>
          </w:p>
          <w:p w14:paraId="0BAA3EFC" w14:textId="77777777" w:rsidR="00044978" w:rsidRPr="00A92E03" w:rsidRDefault="00044978" w:rsidP="00FD73B2">
            <w:pPr>
              <w:rPr>
                <w:rFonts w:ascii="Work Sans" w:hAnsi="Work Sans" w:cs="Tahoma"/>
                <w:sz w:val="20"/>
                <w:szCs w:val="20"/>
              </w:rPr>
            </w:pPr>
          </w:p>
          <w:p w14:paraId="1D3EF322"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t>When the service provider changes from one organisation to another, the Transfer of Undertakings (Protection of Employment) regulation 2006 (TUPE) governs how the colleagues employed within that service are managed.</w:t>
            </w:r>
          </w:p>
          <w:p w14:paraId="130231ED" w14:textId="77777777" w:rsidR="00044978" w:rsidRPr="00A92E03" w:rsidRDefault="00044978" w:rsidP="00FD73B2">
            <w:pPr>
              <w:rPr>
                <w:rFonts w:ascii="Work Sans" w:hAnsi="Work Sans" w:cs="Tahoma"/>
                <w:sz w:val="20"/>
                <w:szCs w:val="20"/>
              </w:rPr>
            </w:pPr>
          </w:p>
          <w:p w14:paraId="56420B04"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t xml:space="preserve">Under the TUPE legislations, your contract of employment is protected. This means that your contract of employment is automatically taken over by the </w:t>
            </w:r>
            <w:r w:rsidR="00B9206C" w:rsidRPr="00A92E03">
              <w:rPr>
                <w:rFonts w:ascii="Work Sans" w:hAnsi="Work Sans" w:cs="Tahoma"/>
                <w:sz w:val="20"/>
                <w:szCs w:val="20"/>
              </w:rPr>
              <w:t>new employer without any changes</w:t>
            </w:r>
            <w:r w:rsidRPr="00A92E03">
              <w:rPr>
                <w:rFonts w:ascii="Work Sans" w:hAnsi="Work Sans" w:cs="Tahoma"/>
                <w:sz w:val="20"/>
                <w:szCs w:val="20"/>
              </w:rPr>
              <w:t xml:space="preserve"> There will be no loss of continued service or changes to your terms and conditions of employment such as</w:t>
            </w:r>
            <w:r w:rsidR="00EE3E8C" w:rsidRPr="00A92E03">
              <w:rPr>
                <w:rFonts w:ascii="Work Sans" w:hAnsi="Work Sans" w:cs="Tahoma"/>
                <w:sz w:val="20"/>
                <w:szCs w:val="20"/>
              </w:rPr>
              <w:t xml:space="preserve"> working</w:t>
            </w:r>
            <w:r w:rsidRPr="00A92E03">
              <w:rPr>
                <w:rFonts w:ascii="Work Sans" w:hAnsi="Work Sans" w:cs="Tahoma"/>
                <w:sz w:val="20"/>
                <w:szCs w:val="20"/>
              </w:rPr>
              <w:t xml:space="preserve"> hours, pay</w:t>
            </w:r>
            <w:r w:rsidR="00EE3E8C" w:rsidRPr="00A92E03">
              <w:rPr>
                <w:rFonts w:ascii="Work Sans" w:hAnsi="Work Sans" w:cs="Tahoma"/>
                <w:sz w:val="20"/>
                <w:szCs w:val="20"/>
              </w:rPr>
              <w:t xml:space="preserve"> or</w:t>
            </w:r>
            <w:r w:rsidRPr="00A92E03">
              <w:rPr>
                <w:rFonts w:ascii="Work Sans" w:hAnsi="Work Sans" w:cs="Tahoma"/>
                <w:sz w:val="20"/>
                <w:szCs w:val="20"/>
              </w:rPr>
              <w:t xml:space="preserve"> annual leave allowance.</w:t>
            </w:r>
          </w:p>
          <w:p w14:paraId="3EAD81F4" w14:textId="77777777" w:rsidR="00044978" w:rsidRPr="00A92E03" w:rsidRDefault="00044978" w:rsidP="00FD73B2">
            <w:pPr>
              <w:rPr>
                <w:rFonts w:ascii="Work Sans" w:hAnsi="Work Sans" w:cs="Tahoma"/>
                <w:sz w:val="20"/>
                <w:szCs w:val="20"/>
              </w:rPr>
            </w:pPr>
          </w:p>
        </w:tc>
      </w:tr>
      <w:tr w:rsidR="00044978" w:rsidRPr="00A92E03" w14:paraId="74BEBF5B" w14:textId="77777777" w:rsidTr="001A79D8">
        <w:tc>
          <w:tcPr>
            <w:tcW w:w="2499" w:type="pct"/>
            <w:hideMark/>
          </w:tcPr>
          <w:p w14:paraId="5DD61BE8"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t xml:space="preserve">Can </w:t>
            </w:r>
            <w:r w:rsidR="00EE3E8C" w:rsidRPr="00A92E03">
              <w:rPr>
                <w:rFonts w:ascii="Work Sans" w:hAnsi="Work Sans" w:cs="Tahoma"/>
                <w:sz w:val="20"/>
                <w:szCs w:val="20"/>
              </w:rPr>
              <w:t>I</w:t>
            </w:r>
            <w:r w:rsidRPr="00A92E03">
              <w:rPr>
                <w:rFonts w:ascii="Work Sans" w:hAnsi="Work Sans" w:cs="Tahoma"/>
                <w:sz w:val="20"/>
                <w:szCs w:val="20"/>
              </w:rPr>
              <w:t xml:space="preserve"> be made redundant after the transfer?</w:t>
            </w:r>
          </w:p>
        </w:tc>
        <w:tc>
          <w:tcPr>
            <w:tcW w:w="2501" w:type="pct"/>
          </w:tcPr>
          <w:p w14:paraId="79F98971"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t xml:space="preserve">Dismissing employees on the sole grounds of TUPE is illegal. </w:t>
            </w:r>
          </w:p>
          <w:p w14:paraId="751A9F0C" w14:textId="77777777" w:rsidR="00044978" w:rsidRPr="00A92E03" w:rsidRDefault="00044978" w:rsidP="00FD73B2">
            <w:pPr>
              <w:rPr>
                <w:rFonts w:ascii="Work Sans" w:hAnsi="Work Sans" w:cs="Tahoma"/>
                <w:sz w:val="20"/>
                <w:szCs w:val="20"/>
              </w:rPr>
            </w:pPr>
          </w:p>
          <w:p w14:paraId="195477E3"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t>The possibility of redundancy always exists in employment. Organisations can make changes to staffing models at any given time</w:t>
            </w:r>
            <w:r w:rsidR="00EE3E8C" w:rsidRPr="00A92E03">
              <w:rPr>
                <w:rFonts w:ascii="Work Sans" w:hAnsi="Work Sans" w:cs="Tahoma"/>
                <w:sz w:val="20"/>
                <w:szCs w:val="20"/>
              </w:rPr>
              <w:t>,</w:t>
            </w:r>
            <w:r w:rsidRPr="00A92E03">
              <w:rPr>
                <w:rFonts w:ascii="Work Sans" w:hAnsi="Work Sans" w:cs="Tahoma"/>
                <w:sz w:val="20"/>
                <w:szCs w:val="20"/>
              </w:rPr>
              <w:t xml:space="preserve"> which could then result in redundancies. Nonetheless, this is a very small risk.</w:t>
            </w:r>
            <w:r w:rsidR="00EE3E8C" w:rsidRPr="00A92E03">
              <w:rPr>
                <w:rFonts w:ascii="Work Sans" w:hAnsi="Work Sans" w:cs="Tahoma"/>
                <w:sz w:val="20"/>
                <w:szCs w:val="20"/>
              </w:rPr>
              <w:t xml:space="preserve"> If you are concerned, please get in touch with the HR team.</w:t>
            </w:r>
          </w:p>
          <w:p w14:paraId="588801ED" w14:textId="77777777" w:rsidR="00044978" w:rsidRPr="00A92E03" w:rsidRDefault="00044978" w:rsidP="00FD73B2">
            <w:pPr>
              <w:rPr>
                <w:rFonts w:ascii="Work Sans" w:hAnsi="Work Sans" w:cs="Tahoma"/>
                <w:sz w:val="20"/>
                <w:szCs w:val="20"/>
              </w:rPr>
            </w:pPr>
          </w:p>
        </w:tc>
      </w:tr>
      <w:tr w:rsidR="00A92E03" w:rsidRPr="00A92E03" w14:paraId="68A9DEBF" w14:textId="77777777" w:rsidTr="001A79D8">
        <w:tc>
          <w:tcPr>
            <w:tcW w:w="2499" w:type="pct"/>
          </w:tcPr>
          <w:p w14:paraId="402B5E2E" w14:textId="703804E1" w:rsidR="00A92E03" w:rsidRPr="00A92E03" w:rsidRDefault="00A92E03" w:rsidP="00FD73B2">
            <w:pPr>
              <w:rPr>
                <w:rFonts w:ascii="Work Sans" w:hAnsi="Work Sans" w:cs="Tahoma"/>
                <w:sz w:val="20"/>
                <w:szCs w:val="20"/>
              </w:rPr>
            </w:pPr>
            <w:r w:rsidRPr="00A92E03">
              <w:rPr>
                <w:rFonts w:ascii="Work Sans" w:hAnsi="Work Sans" w:cs="Tahoma"/>
                <w:sz w:val="20"/>
                <w:szCs w:val="20"/>
              </w:rPr>
              <w:t xml:space="preserve">How does OneMedical Group (OMG) plan to support the </w:t>
            </w:r>
            <w:proofErr w:type="spellStart"/>
            <w:r w:rsidRPr="00A92E03">
              <w:rPr>
                <w:rFonts w:ascii="Work Sans" w:hAnsi="Work Sans" w:cs="Tahoma"/>
                <w:sz w:val="20"/>
                <w:szCs w:val="20"/>
              </w:rPr>
              <w:t>deliver</w:t>
            </w:r>
            <w:proofErr w:type="spellEnd"/>
            <w:r w:rsidRPr="00A92E03">
              <w:rPr>
                <w:rFonts w:ascii="Work Sans" w:hAnsi="Work Sans" w:cs="Tahoma"/>
                <w:sz w:val="20"/>
                <w:szCs w:val="20"/>
              </w:rPr>
              <w:t xml:space="preserve"> of services at CKMP while being so remote?</w:t>
            </w:r>
          </w:p>
        </w:tc>
        <w:tc>
          <w:tcPr>
            <w:tcW w:w="2501" w:type="pct"/>
          </w:tcPr>
          <w:p w14:paraId="0F3CEE47" w14:textId="77777777" w:rsidR="00A92E03" w:rsidRPr="00A92E03" w:rsidRDefault="00A92E03" w:rsidP="00FD73B2">
            <w:pPr>
              <w:rPr>
                <w:rFonts w:ascii="Work Sans" w:hAnsi="Work Sans" w:cs="Tahoma"/>
                <w:sz w:val="20"/>
                <w:szCs w:val="20"/>
              </w:rPr>
            </w:pPr>
            <w:r w:rsidRPr="00A92E03">
              <w:rPr>
                <w:rFonts w:ascii="Work Sans" w:hAnsi="Work Sans" w:cs="Tahoma"/>
                <w:sz w:val="20"/>
                <w:szCs w:val="20"/>
              </w:rPr>
              <w:t xml:space="preserve">OMG and </w:t>
            </w:r>
            <w:proofErr w:type="spellStart"/>
            <w:r w:rsidRPr="00A92E03">
              <w:rPr>
                <w:rFonts w:ascii="Work Sans" w:hAnsi="Work Sans" w:cs="Tahoma"/>
                <w:sz w:val="20"/>
                <w:szCs w:val="20"/>
              </w:rPr>
              <w:t>OneMedicare</w:t>
            </w:r>
            <w:proofErr w:type="spellEnd"/>
            <w:r w:rsidRPr="00A92E03">
              <w:rPr>
                <w:rFonts w:ascii="Work Sans" w:hAnsi="Work Sans" w:cs="Tahoma"/>
                <w:sz w:val="20"/>
                <w:szCs w:val="20"/>
              </w:rPr>
              <w:t xml:space="preserve"> (OM) have a wider NHS services support team and a central support team who work nationally across the other sites we have. All our teams work across the country and so in joining the Group, Charlotte Keel Medical Practice will have the provision and support offered by these teams who will work in collaboration with you all continue to provide a high level of patient care to the Bristol community. There will be regular visits planned from the support teams as well as access to them via telephone and email support on a regular basis. This will include routine calls and conferences as well as ad hoc, depending on the needs of the service and staff. </w:t>
            </w:r>
          </w:p>
          <w:p w14:paraId="5AC8E945" w14:textId="61180891" w:rsidR="00A92E03" w:rsidRPr="00A92E03" w:rsidRDefault="00A92E03" w:rsidP="00A92E03">
            <w:pPr>
              <w:tabs>
                <w:tab w:val="left" w:pos="1356"/>
              </w:tabs>
              <w:rPr>
                <w:rFonts w:ascii="Work Sans" w:hAnsi="Work Sans" w:cs="Tahoma"/>
                <w:sz w:val="20"/>
                <w:szCs w:val="20"/>
              </w:rPr>
            </w:pPr>
          </w:p>
        </w:tc>
      </w:tr>
      <w:tr w:rsidR="00A92E03" w:rsidRPr="00A92E03" w14:paraId="78613BDA" w14:textId="77777777" w:rsidTr="001A79D8">
        <w:tc>
          <w:tcPr>
            <w:tcW w:w="2499" w:type="pct"/>
          </w:tcPr>
          <w:p w14:paraId="2FF750BB" w14:textId="546DFAAF" w:rsidR="00A92E03" w:rsidRPr="00A92E03" w:rsidRDefault="00A92E03" w:rsidP="00FD73B2">
            <w:pPr>
              <w:rPr>
                <w:rFonts w:ascii="Work Sans" w:hAnsi="Work Sans" w:cs="Tahoma"/>
                <w:sz w:val="20"/>
                <w:szCs w:val="20"/>
              </w:rPr>
            </w:pPr>
            <w:r>
              <w:rPr>
                <w:rFonts w:ascii="Work Sans" w:hAnsi="Work Sans" w:cs="Tahoma"/>
                <w:sz w:val="20"/>
                <w:szCs w:val="20"/>
              </w:rPr>
              <w:t>Will my salary and benefits change?</w:t>
            </w:r>
          </w:p>
        </w:tc>
        <w:tc>
          <w:tcPr>
            <w:tcW w:w="2501" w:type="pct"/>
          </w:tcPr>
          <w:p w14:paraId="198D5702" w14:textId="5B399930" w:rsidR="00A92E03" w:rsidRDefault="00E03130" w:rsidP="00FD73B2">
            <w:pPr>
              <w:rPr>
                <w:rFonts w:ascii="Work Sans" w:hAnsi="Work Sans" w:cs="Tahoma"/>
                <w:sz w:val="20"/>
                <w:szCs w:val="20"/>
              </w:rPr>
            </w:pPr>
            <w:r>
              <w:rPr>
                <w:rFonts w:ascii="Work Sans" w:hAnsi="Work Sans" w:cs="Tahoma"/>
                <w:sz w:val="20"/>
                <w:szCs w:val="20"/>
              </w:rPr>
              <w:t>Any elements of your benefits which are set out in your contract</w:t>
            </w:r>
            <w:r w:rsidR="00854EF7">
              <w:rPr>
                <w:rFonts w:ascii="Work Sans" w:hAnsi="Work Sans" w:cs="Tahoma"/>
                <w:sz w:val="20"/>
                <w:szCs w:val="20"/>
              </w:rPr>
              <w:t xml:space="preserve"> (expressed terms)</w:t>
            </w:r>
            <w:r>
              <w:rPr>
                <w:rFonts w:ascii="Work Sans" w:hAnsi="Work Sans" w:cs="Tahoma"/>
                <w:sz w:val="20"/>
                <w:szCs w:val="20"/>
              </w:rPr>
              <w:t xml:space="preserve">, </w:t>
            </w:r>
            <w:r>
              <w:rPr>
                <w:rFonts w:ascii="Work Sans" w:hAnsi="Work Sans" w:cs="Tahoma"/>
                <w:sz w:val="20"/>
                <w:szCs w:val="20"/>
              </w:rPr>
              <w:lastRenderedPageBreak/>
              <w:t xml:space="preserve">such as salary, annual leave allowance, sick pay entitlement, over time rates, will remain in place following transfer. Any non-contractual benefits, which are </w:t>
            </w:r>
            <w:proofErr w:type="spellStart"/>
            <w:r>
              <w:rPr>
                <w:rFonts w:ascii="Work Sans" w:hAnsi="Work Sans" w:cs="Tahoma"/>
                <w:sz w:val="20"/>
                <w:szCs w:val="20"/>
              </w:rPr>
              <w:t>BrisDoc</w:t>
            </w:r>
            <w:proofErr w:type="spellEnd"/>
            <w:r>
              <w:rPr>
                <w:rFonts w:ascii="Work Sans" w:hAnsi="Work Sans" w:cs="Tahoma"/>
                <w:sz w:val="20"/>
                <w:szCs w:val="20"/>
              </w:rPr>
              <w:t xml:space="preserve"> specific, </w:t>
            </w:r>
            <w:r w:rsidR="00854EF7">
              <w:rPr>
                <w:rFonts w:ascii="Work Sans" w:hAnsi="Work Sans" w:cs="Tahoma"/>
                <w:sz w:val="20"/>
                <w:szCs w:val="20"/>
              </w:rPr>
              <w:t>are unlikely to</w:t>
            </w:r>
            <w:r>
              <w:rPr>
                <w:rFonts w:ascii="Work Sans" w:hAnsi="Work Sans" w:cs="Tahoma"/>
                <w:sz w:val="20"/>
                <w:szCs w:val="20"/>
              </w:rPr>
              <w:t xml:space="preserve"> transfer over. </w:t>
            </w:r>
            <w:r w:rsidR="00854EF7">
              <w:rPr>
                <w:rFonts w:ascii="Work Sans" w:hAnsi="Work Sans" w:cs="Tahoma"/>
                <w:sz w:val="20"/>
                <w:szCs w:val="20"/>
              </w:rPr>
              <w:t xml:space="preserve">Due diligence of information shared from </w:t>
            </w:r>
            <w:proofErr w:type="spellStart"/>
            <w:r w:rsidR="00854EF7">
              <w:rPr>
                <w:rFonts w:ascii="Work Sans" w:hAnsi="Work Sans" w:cs="Tahoma"/>
                <w:sz w:val="20"/>
                <w:szCs w:val="20"/>
              </w:rPr>
              <w:t>BrisDoc</w:t>
            </w:r>
            <w:proofErr w:type="spellEnd"/>
            <w:r w:rsidR="00854EF7">
              <w:rPr>
                <w:rFonts w:ascii="Work Sans" w:hAnsi="Work Sans" w:cs="Tahoma"/>
                <w:sz w:val="20"/>
                <w:szCs w:val="20"/>
              </w:rPr>
              <w:t xml:space="preserve"> to OM is what further determines if there are any other terms outside of contracts that fall within TUPE. </w:t>
            </w:r>
            <w:r>
              <w:rPr>
                <w:rFonts w:ascii="Work Sans" w:hAnsi="Work Sans" w:cs="Tahoma"/>
                <w:sz w:val="20"/>
                <w:szCs w:val="20"/>
              </w:rPr>
              <w:t>However, following the transfer, you will inherit any non-contractual benefits that OM has, such as 5 additional days of paid leave for Special and Significant events.</w:t>
            </w:r>
          </w:p>
          <w:p w14:paraId="3DE0E941" w14:textId="1E7EDD33" w:rsidR="00E03130" w:rsidRPr="00A92E03" w:rsidRDefault="00E03130" w:rsidP="00FD73B2">
            <w:pPr>
              <w:rPr>
                <w:rFonts w:ascii="Work Sans" w:hAnsi="Work Sans" w:cs="Tahoma"/>
                <w:sz w:val="20"/>
                <w:szCs w:val="20"/>
              </w:rPr>
            </w:pPr>
          </w:p>
        </w:tc>
      </w:tr>
      <w:tr w:rsidR="00044978" w:rsidRPr="00A92E03" w14:paraId="5EC9E68E" w14:textId="77777777" w:rsidTr="001A79D8">
        <w:tc>
          <w:tcPr>
            <w:tcW w:w="2499" w:type="pct"/>
            <w:hideMark/>
          </w:tcPr>
          <w:p w14:paraId="444D0D16" w14:textId="77777777" w:rsidR="00044978" w:rsidRPr="00A92E03" w:rsidRDefault="00044978" w:rsidP="00FD73B2">
            <w:pPr>
              <w:rPr>
                <w:rFonts w:ascii="Work Sans" w:hAnsi="Work Sans" w:cs="Tahoma"/>
                <w:sz w:val="20"/>
                <w:szCs w:val="20"/>
              </w:rPr>
            </w:pPr>
            <w:r w:rsidRPr="00A92E03">
              <w:rPr>
                <w:rFonts w:ascii="Work Sans" w:hAnsi="Work Sans" w:cs="Tahoma"/>
                <w:sz w:val="20"/>
                <w:szCs w:val="20"/>
              </w:rPr>
              <w:lastRenderedPageBreak/>
              <w:t xml:space="preserve">Will the hours and days </w:t>
            </w:r>
            <w:r w:rsidR="00C24FDE" w:rsidRPr="00A92E03">
              <w:rPr>
                <w:rFonts w:ascii="Work Sans" w:hAnsi="Work Sans" w:cs="Tahoma"/>
                <w:sz w:val="20"/>
                <w:szCs w:val="20"/>
              </w:rPr>
              <w:t>I</w:t>
            </w:r>
            <w:r w:rsidRPr="00A92E03">
              <w:rPr>
                <w:rFonts w:ascii="Work Sans" w:hAnsi="Work Sans" w:cs="Tahoma"/>
                <w:sz w:val="20"/>
                <w:szCs w:val="20"/>
              </w:rPr>
              <w:t xml:space="preserve"> work change?</w:t>
            </w:r>
          </w:p>
        </w:tc>
        <w:tc>
          <w:tcPr>
            <w:tcW w:w="2501" w:type="pct"/>
          </w:tcPr>
          <w:p w14:paraId="5AFBD9BC" w14:textId="4324A594" w:rsidR="00044978" w:rsidRPr="00A92E03" w:rsidRDefault="00044978" w:rsidP="00FD73B2">
            <w:pPr>
              <w:rPr>
                <w:rFonts w:ascii="Work Sans" w:hAnsi="Work Sans" w:cs="Tahoma"/>
                <w:sz w:val="20"/>
                <w:szCs w:val="20"/>
              </w:rPr>
            </w:pPr>
            <w:r w:rsidRPr="00A92E03">
              <w:rPr>
                <w:rFonts w:ascii="Work Sans" w:hAnsi="Work Sans" w:cs="Tahoma"/>
                <w:sz w:val="20"/>
                <w:szCs w:val="20"/>
              </w:rPr>
              <w:t xml:space="preserve">Your core contractual hours will </w:t>
            </w:r>
            <w:r w:rsidR="00854EF7">
              <w:rPr>
                <w:rFonts w:ascii="Work Sans" w:hAnsi="Work Sans" w:cs="Tahoma"/>
                <w:sz w:val="20"/>
                <w:szCs w:val="20"/>
              </w:rPr>
              <w:t>transfer over as they are along with any statutory flexible working agreements.</w:t>
            </w:r>
            <w:r w:rsidRPr="00A92E03">
              <w:rPr>
                <w:rFonts w:ascii="Work Sans" w:hAnsi="Work Sans" w:cs="Tahoma"/>
                <w:sz w:val="20"/>
                <w:szCs w:val="20"/>
              </w:rPr>
              <w:t xml:space="preserve"> You</w:t>
            </w:r>
            <w:r w:rsidR="00A92E03" w:rsidRPr="00A92E03">
              <w:rPr>
                <w:rFonts w:ascii="Work Sans" w:hAnsi="Work Sans" w:cs="Tahoma"/>
                <w:sz w:val="20"/>
                <w:szCs w:val="20"/>
              </w:rPr>
              <w:t>r</w:t>
            </w:r>
            <w:r w:rsidRPr="00A92E03">
              <w:rPr>
                <w:rFonts w:ascii="Work Sans" w:hAnsi="Work Sans" w:cs="Tahoma"/>
                <w:sz w:val="20"/>
                <w:szCs w:val="20"/>
              </w:rPr>
              <w:t xml:space="preserve"> shift pattern</w:t>
            </w:r>
            <w:r w:rsidR="00A92E03" w:rsidRPr="00A92E03">
              <w:rPr>
                <w:rFonts w:ascii="Work Sans" w:hAnsi="Work Sans" w:cs="Tahoma"/>
                <w:sz w:val="20"/>
                <w:szCs w:val="20"/>
              </w:rPr>
              <w:t>s will be agreed locally to</w:t>
            </w:r>
            <w:r w:rsidRPr="00A92E03">
              <w:rPr>
                <w:rFonts w:ascii="Work Sans" w:hAnsi="Work Sans" w:cs="Tahoma"/>
                <w:sz w:val="20"/>
                <w:szCs w:val="20"/>
              </w:rPr>
              <w:t xml:space="preserve"> suit the service</w:t>
            </w:r>
            <w:r w:rsidR="00A92E03" w:rsidRPr="00A92E03">
              <w:rPr>
                <w:rFonts w:ascii="Work Sans" w:hAnsi="Work Sans" w:cs="Tahoma"/>
                <w:sz w:val="20"/>
                <w:szCs w:val="20"/>
              </w:rPr>
              <w:t xml:space="preserve"> and there is no anticipation that current shift patterns will change. Should any changes be </w:t>
            </w:r>
            <w:r w:rsidR="00854EF7">
              <w:rPr>
                <w:rFonts w:ascii="Work Sans" w:hAnsi="Work Sans" w:cs="Tahoma"/>
                <w:sz w:val="20"/>
                <w:szCs w:val="20"/>
              </w:rPr>
              <w:t xml:space="preserve">required to better </w:t>
            </w:r>
            <w:r w:rsidR="00A92E03" w:rsidRPr="00A92E03">
              <w:rPr>
                <w:rFonts w:ascii="Work Sans" w:hAnsi="Work Sans" w:cs="Tahoma"/>
                <w:sz w:val="20"/>
                <w:szCs w:val="20"/>
              </w:rPr>
              <w:t xml:space="preserve">to suit the </w:t>
            </w:r>
            <w:r w:rsidR="00854EF7">
              <w:rPr>
                <w:rFonts w:ascii="Work Sans" w:hAnsi="Work Sans" w:cs="Tahoma"/>
                <w:sz w:val="20"/>
                <w:szCs w:val="20"/>
              </w:rPr>
              <w:t xml:space="preserve">needs of the </w:t>
            </w:r>
            <w:r w:rsidR="00A92E03" w:rsidRPr="00A92E03">
              <w:rPr>
                <w:rFonts w:ascii="Work Sans" w:hAnsi="Work Sans" w:cs="Tahoma"/>
                <w:sz w:val="20"/>
                <w:szCs w:val="20"/>
              </w:rPr>
              <w:t>service,</w:t>
            </w:r>
            <w:r w:rsidRPr="00A92E03">
              <w:rPr>
                <w:rFonts w:ascii="Work Sans" w:hAnsi="Work Sans" w:cs="Tahoma"/>
                <w:sz w:val="20"/>
                <w:szCs w:val="20"/>
              </w:rPr>
              <w:t xml:space="preserve"> you will be </w:t>
            </w:r>
            <w:r w:rsidR="00854EF7">
              <w:rPr>
                <w:rFonts w:ascii="Work Sans" w:hAnsi="Work Sans" w:cs="Tahoma"/>
                <w:sz w:val="20"/>
                <w:szCs w:val="20"/>
              </w:rPr>
              <w:t xml:space="preserve">formally </w:t>
            </w:r>
            <w:r w:rsidRPr="00A92E03">
              <w:rPr>
                <w:rFonts w:ascii="Work Sans" w:hAnsi="Work Sans" w:cs="Tahoma"/>
                <w:sz w:val="20"/>
                <w:szCs w:val="20"/>
              </w:rPr>
              <w:t>consulted with.</w:t>
            </w:r>
          </w:p>
          <w:p w14:paraId="0ADCEBD9" w14:textId="77777777" w:rsidR="00044978" w:rsidRPr="00A92E03" w:rsidRDefault="00044978" w:rsidP="00FD73B2">
            <w:pPr>
              <w:rPr>
                <w:rFonts w:ascii="Work Sans" w:hAnsi="Work Sans" w:cs="Tahoma"/>
                <w:sz w:val="20"/>
                <w:szCs w:val="20"/>
              </w:rPr>
            </w:pPr>
          </w:p>
          <w:p w14:paraId="5850A28C" w14:textId="4468FE84" w:rsidR="00044978" w:rsidRPr="00A92E03" w:rsidRDefault="00044978" w:rsidP="00FD73B2">
            <w:pPr>
              <w:rPr>
                <w:rFonts w:ascii="Work Sans" w:hAnsi="Work Sans" w:cs="Tahoma"/>
                <w:sz w:val="20"/>
                <w:szCs w:val="20"/>
              </w:rPr>
            </w:pPr>
            <w:r w:rsidRPr="00A92E03">
              <w:rPr>
                <w:rFonts w:ascii="Work Sans" w:hAnsi="Work Sans" w:cs="Tahoma"/>
                <w:sz w:val="20"/>
                <w:szCs w:val="20"/>
              </w:rPr>
              <w:t>Throughout the procurement process</w:t>
            </w:r>
            <w:r w:rsidR="00C24FDE" w:rsidRPr="00A92E03">
              <w:rPr>
                <w:rFonts w:ascii="Work Sans" w:hAnsi="Work Sans" w:cs="Tahoma"/>
                <w:sz w:val="20"/>
                <w:szCs w:val="20"/>
              </w:rPr>
              <w:t>,</w:t>
            </w:r>
            <w:r w:rsidRPr="00A92E03">
              <w:rPr>
                <w:rFonts w:ascii="Work Sans" w:hAnsi="Work Sans" w:cs="Tahoma"/>
                <w:sz w:val="20"/>
                <w:szCs w:val="20"/>
              </w:rPr>
              <w:t xml:space="preserve"> both</w:t>
            </w:r>
            <w:r w:rsidR="000C4A70" w:rsidRPr="00A92E03">
              <w:rPr>
                <w:rFonts w:ascii="Work Sans" w:hAnsi="Work Sans" w:cs="Tahoma"/>
                <w:sz w:val="20"/>
                <w:szCs w:val="20"/>
              </w:rPr>
              <w:t xml:space="preserve"> existing and new</w:t>
            </w:r>
            <w:r w:rsidRPr="00A92E03">
              <w:rPr>
                <w:rFonts w:ascii="Work Sans" w:hAnsi="Work Sans" w:cs="Tahoma"/>
                <w:sz w:val="20"/>
                <w:szCs w:val="20"/>
              </w:rPr>
              <w:t xml:space="preserve"> service provider</w:t>
            </w:r>
            <w:r w:rsidR="000C4A70" w:rsidRPr="00A92E03">
              <w:rPr>
                <w:rFonts w:ascii="Work Sans" w:hAnsi="Work Sans" w:cs="Tahoma"/>
                <w:sz w:val="20"/>
                <w:szCs w:val="20"/>
              </w:rPr>
              <w:t>s</w:t>
            </w:r>
            <w:r w:rsidRPr="00A92E03">
              <w:rPr>
                <w:rFonts w:ascii="Work Sans" w:hAnsi="Work Sans" w:cs="Tahoma"/>
                <w:sz w:val="20"/>
                <w:szCs w:val="20"/>
              </w:rPr>
              <w:t xml:space="preserve"> will maintain regular contact with you to notify you about any changes that are anticipated. These are known as </w:t>
            </w:r>
            <w:r w:rsidR="00C24FDE" w:rsidRPr="00A92E03">
              <w:rPr>
                <w:rFonts w:ascii="Work Sans" w:hAnsi="Work Sans" w:cs="Tahoma"/>
                <w:sz w:val="20"/>
                <w:szCs w:val="20"/>
              </w:rPr>
              <w:t>‘M</w:t>
            </w:r>
            <w:r w:rsidRPr="00A92E03">
              <w:rPr>
                <w:rFonts w:ascii="Work Sans" w:hAnsi="Work Sans" w:cs="Tahoma"/>
                <w:sz w:val="20"/>
                <w:szCs w:val="20"/>
              </w:rPr>
              <w:t>easures</w:t>
            </w:r>
            <w:r w:rsidR="00C24FDE" w:rsidRPr="00A92E03">
              <w:rPr>
                <w:rFonts w:ascii="Work Sans" w:hAnsi="Work Sans" w:cs="Tahoma"/>
                <w:sz w:val="20"/>
                <w:szCs w:val="20"/>
              </w:rPr>
              <w:t xml:space="preserve">’ </w:t>
            </w:r>
            <w:r w:rsidRPr="00A92E03">
              <w:rPr>
                <w:rFonts w:ascii="Work Sans" w:hAnsi="Work Sans" w:cs="Tahoma"/>
                <w:sz w:val="20"/>
                <w:szCs w:val="20"/>
              </w:rPr>
              <w:t>and all colleagues will receive a copy of the Measures letter once any Measures have been confirmed by the new provider.</w:t>
            </w:r>
          </w:p>
          <w:p w14:paraId="2878AFF9" w14:textId="77777777" w:rsidR="00044978" w:rsidRPr="00A92E03" w:rsidRDefault="00044978" w:rsidP="00FD73B2">
            <w:pPr>
              <w:rPr>
                <w:rFonts w:ascii="Work Sans" w:hAnsi="Work Sans" w:cs="Tahoma"/>
                <w:sz w:val="20"/>
                <w:szCs w:val="20"/>
              </w:rPr>
            </w:pPr>
          </w:p>
          <w:p w14:paraId="3903B880" w14:textId="77777777" w:rsidR="00044978" w:rsidRPr="00A92E03" w:rsidRDefault="00044978" w:rsidP="00FD73B2">
            <w:pPr>
              <w:rPr>
                <w:rFonts w:ascii="Work Sans" w:hAnsi="Work Sans" w:cs="Tahoma"/>
                <w:sz w:val="20"/>
                <w:szCs w:val="20"/>
              </w:rPr>
            </w:pPr>
          </w:p>
        </w:tc>
      </w:tr>
      <w:tr w:rsidR="00F06246" w:rsidRPr="00A92E03" w14:paraId="728174C1" w14:textId="77777777" w:rsidTr="001A79D8">
        <w:tc>
          <w:tcPr>
            <w:tcW w:w="2499" w:type="pct"/>
          </w:tcPr>
          <w:p w14:paraId="789D7AB7" w14:textId="3496CF3E" w:rsidR="00F06246" w:rsidRPr="00A92E03" w:rsidRDefault="00F06246" w:rsidP="00FD73B2">
            <w:pPr>
              <w:rPr>
                <w:rFonts w:ascii="Work Sans" w:hAnsi="Work Sans" w:cs="Tahoma"/>
                <w:sz w:val="20"/>
                <w:szCs w:val="20"/>
              </w:rPr>
            </w:pPr>
            <w:r>
              <w:rPr>
                <w:rFonts w:ascii="Work Sans" w:hAnsi="Work Sans" w:cs="Tahoma"/>
                <w:sz w:val="20"/>
                <w:szCs w:val="20"/>
              </w:rPr>
              <w:t>Will I receive a new contract?</w:t>
            </w:r>
          </w:p>
        </w:tc>
        <w:tc>
          <w:tcPr>
            <w:tcW w:w="2501" w:type="pct"/>
          </w:tcPr>
          <w:p w14:paraId="32B182F7" w14:textId="6FF0F6F4" w:rsidR="00F06246" w:rsidRDefault="00F06246" w:rsidP="00FD73B2">
            <w:pPr>
              <w:rPr>
                <w:rFonts w:ascii="Work Sans" w:hAnsi="Work Sans" w:cs="Tahoma"/>
                <w:sz w:val="20"/>
                <w:szCs w:val="20"/>
              </w:rPr>
            </w:pPr>
            <w:r>
              <w:rPr>
                <w:rFonts w:ascii="Work Sans" w:hAnsi="Work Sans" w:cs="Tahoma"/>
                <w:sz w:val="20"/>
                <w:szCs w:val="20"/>
              </w:rPr>
              <w:t xml:space="preserve">No, your existing contract will transfer to OM. As part of the Due Diligence process, </w:t>
            </w:r>
            <w:proofErr w:type="spellStart"/>
            <w:r>
              <w:rPr>
                <w:rFonts w:ascii="Work Sans" w:hAnsi="Work Sans" w:cs="Tahoma"/>
                <w:sz w:val="20"/>
                <w:szCs w:val="20"/>
              </w:rPr>
              <w:t>BrisDoc</w:t>
            </w:r>
            <w:proofErr w:type="spellEnd"/>
            <w:r>
              <w:rPr>
                <w:rFonts w:ascii="Work Sans" w:hAnsi="Work Sans" w:cs="Tahoma"/>
                <w:sz w:val="20"/>
                <w:szCs w:val="20"/>
              </w:rPr>
              <w:t xml:space="preserve"> will share the relevant contracts with us. </w:t>
            </w:r>
          </w:p>
          <w:p w14:paraId="4C79AA27" w14:textId="3F78F7DC" w:rsidR="00F06246" w:rsidRPr="00A92E03" w:rsidRDefault="00F06246" w:rsidP="00FD73B2">
            <w:pPr>
              <w:rPr>
                <w:rFonts w:ascii="Work Sans" w:hAnsi="Work Sans" w:cs="Tahoma"/>
                <w:sz w:val="20"/>
                <w:szCs w:val="20"/>
              </w:rPr>
            </w:pPr>
          </w:p>
        </w:tc>
      </w:tr>
      <w:tr w:rsidR="00F06246" w:rsidRPr="00A92E03" w14:paraId="76865789" w14:textId="77777777" w:rsidTr="001A79D8">
        <w:tc>
          <w:tcPr>
            <w:tcW w:w="2499" w:type="pct"/>
          </w:tcPr>
          <w:p w14:paraId="2F5A154F" w14:textId="7D37A414" w:rsidR="00F06246" w:rsidRDefault="00F06246" w:rsidP="00FD73B2">
            <w:pPr>
              <w:rPr>
                <w:rFonts w:ascii="Work Sans" w:hAnsi="Work Sans" w:cs="Tahoma"/>
                <w:sz w:val="20"/>
                <w:szCs w:val="20"/>
              </w:rPr>
            </w:pPr>
            <w:r>
              <w:rPr>
                <w:rFonts w:ascii="Work Sans" w:hAnsi="Work Sans" w:cs="Tahoma"/>
                <w:sz w:val="20"/>
                <w:szCs w:val="20"/>
              </w:rPr>
              <w:t xml:space="preserve">Will I get a choice of choosing between OMG and </w:t>
            </w:r>
            <w:proofErr w:type="spellStart"/>
            <w:r>
              <w:rPr>
                <w:rFonts w:ascii="Work Sans" w:hAnsi="Work Sans" w:cs="Tahoma"/>
                <w:sz w:val="20"/>
                <w:szCs w:val="20"/>
              </w:rPr>
              <w:t>BrisDoc</w:t>
            </w:r>
            <w:proofErr w:type="spellEnd"/>
            <w:r>
              <w:rPr>
                <w:rFonts w:ascii="Work Sans" w:hAnsi="Work Sans" w:cs="Tahoma"/>
                <w:sz w:val="20"/>
                <w:szCs w:val="20"/>
              </w:rPr>
              <w:t xml:space="preserve"> T&amp;Cs?</w:t>
            </w:r>
          </w:p>
        </w:tc>
        <w:tc>
          <w:tcPr>
            <w:tcW w:w="2501" w:type="pct"/>
          </w:tcPr>
          <w:p w14:paraId="6415551D" w14:textId="4FA94A0A" w:rsidR="00F06246" w:rsidRDefault="00F06246" w:rsidP="00FD73B2">
            <w:pPr>
              <w:rPr>
                <w:rFonts w:ascii="Work Sans" w:hAnsi="Work Sans" w:cs="Tahoma"/>
                <w:sz w:val="20"/>
                <w:szCs w:val="20"/>
              </w:rPr>
            </w:pPr>
            <w:r>
              <w:rPr>
                <w:rFonts w:ascii="Work Sans" w:hAnsi="Work Sans" w:cs="Tahoma"/>
                <w:sz w:val="20"/>
                <w:szCs w:val="20"/>
              </w:rPr>
              <w:t>We will not enforce any transfer onto OM T&amp;Cs. However, if staff wish to explore the difference in the two contracts, and transfer to an OM contract if they find this to be more favourable, then this can be considered after the transfer</w:t>
            </w:r>
            <w:r w:rsidR="00854EF7">
              <w:rPr>
                <w:rFonts w:ascii="Work Sans" w:hAnsi="Work Sans" w:cs="Tahoma"/>
                <w:sz w:val="20"/>
                <w:szCs w:val="20"/>
              </w:rPr>
              <w:t xml:space="preserve"> when appropriate</w:t>
            </w:r>
            <w:r>
              <w:rPr>
                <w:rFonts w:ascii="Work Sans" w:hAnsi="Work Sans" w:cs="Tahoma"/>
                <w:sz w:val="20"/>
                <w:szCs w:val="20"/>
              </w:rPr>
              <w:t>.</w:t>
            </w:r>
          </w:p>
          <w:p w14:paraId="2DF04B52" w14:textId="572F20C5" w:rsidR="00F06246" w:rsidRDefault="00F06246" w:rsidP="00FD73B2">
            <w:pPr>
              <w:rPr>
                <w:rFonts w:ascii="Work Sans" w:hAnsi="Work Sans" w:cs="Tahoma"/>
                <w:sz w:val="20"/>
                <w:szCs w:val="20"/>
              </w:rPr>
            </w:pPr>
          </w:p>
        </w:tc>
      </w:tr>
      <w:tr w:rsidR="00E03130" w:rsidRPr="00A92E03" w14:paraId="56A7BA6E" w14:textId="77777777" w:rsidTr="001A79D8">
        <w:tc>
          <w:tcPr>
            <w:tcW w:w="2499" w:type="pct"/>
          </w:tcPr>
          <w:p w14:paraId="27BAFBC8" w14:textId="26B2DF34" w:rsidR="00E03130" w:rsidRPr="00A92E03" w:rsidRDefault="00E03130" w:rsidP="00E03130">
            <w:pPr>
              <w:rPr>
                <w:rFonts w:ascii="Work Sans" w:hAnsi="Work Sans" w:cs="Tahoma"/>
                <w:sz w:val="20"/>
                <w:szCs w:val="20"/>
              </w:rPr>
            </w:pPr>
            <w:r>
              <w:rPr>
                <w:rFonts w:ascii="Work Sans" w:hAnsi="Work Sans" w:cs="Tahoma"/>
                <w:sz w:val="20"/>
                <w:szCs w:val="20"/>
              </w:rPr>
              <w:t>Will OMG fund courses to support development?</w:t>
            </w:r>
          </w:p>
        </w:tc>
        <w:tc>
          <w:tcPr>
            <w:tcW w:w="2501" w:type="pct"/>
          </w:tcPr>
          <w:p w14:paraId="5DEA260D" w14:textId="77777777" w:rsidR="00E03130" w:rsidRDefault="00E03130" w:rsidP="00E03130">
            <w:pPr>
              <w:rPr>
                <w:rFonts w:ascii="Work Sans" w:hAnsi="Work Sans" w:cs="Tahoma"/>
                <w:sz w:val="20"/>
                <w:szCs w:val="20"/>
              </w:rPr>
            </w:pPr>
            <w:r w:rsidRPr="00A92E03">
              <w:rPr>
                <w:rFonts w:ascii="Work Sans" w:hAnsi="Work Sans" w:cs="Tahoma"/>
                <w:sz w:val="20"/>
                <w:szCs w:val="20"/>
              </w:rPr>
              <w:t>Yes. We are committed to personal and professional development</w:t>
            </w:r>
            <w:r>
              <w:rPr>
                <w:rFonts w:ascii="Work Sans" w:hAnsi="Work Sans" w:cs="Tahoma"/>
                <w:sz w:val="20"/>
                <w:szCs w:val="20"/>
              </w:rPr>
              <w:t xml:space="preserve"> for all staff members. Through the process of appraisals and 1-1s employees can discuss and explore what courses and training is suitable for them and their roles. We will either fully or partially fund this or use funds available to us via the apprenticeship levy. </w:t>
            </w:r>
          </w:p>
          <w:p w14:paraId="065772AE" w14:textId="77777777" w:rsidR="00E03130" w:rsidRDefault="00E03130" w:rsidP="00E03130">
            <w:pPr>
              <w:rPr>
                <w:rFonts w:ascii="Work Sans" w:hAnsi="Work Sans" w:cs="Tahoma"/>
                <w:sz w:val="20"/>
                <w:szCs w:val="20"/>
              </w:rPr>
            </w:pPr>
          </w:p>
          <w:p w14:paraId="4B59FF66" w14:textId="4FB89B35" w:rsidR="00F06246" w:rsidRPr="00A92E03" w:rsidRDefault="00F06246" w:rsidP="00E03130">
            <w:pPr>
              <w:rPr>
                <w:rFonts w:ascii="Work Sans" w:hAnsi="Work Sans" w:cs="Tahoma"/>
                <w:sz w:val="20"/>
                <w:szCs w:val="20"/>
              </w:rPr>
            </w:pPr>
            <w:r>
              <w:rPr>
                <w:rFonts w:ascii="Work Sans" w:hAnsi="Work Sans" w:cs="Tahoma"/>
                <w:sz w:val="20"/>
                <w:szCs w:val="20"/>
              </w:rPr>
              <w:lastRenderedPageBreak/>
              <w:t xml:space="preserve">In addition to this, we have a group wide Study Leave policy which provides staff with protected time off for the necessary training and study programmes. </w:t>
            </w:r>
          </w:p>
        </w:tc>
      </w:tr>
      <w:tr w:rsidR="00E03130" w:rsidRPr="00A92E03" w14:paraId="03E77391" w14:textId="77777777" w:rsidTr="001A79D8">
        <w:trPr>
          <w:trHeight w:val="664"/>
        </w:trPr>
        <w:tc>
          <w:tcPr>
            <w:tcW w:w="2499" w:type="pct"/>
            <w:hideMark/>
          </w:tcPr>
          <w:p w14:paraId="116AC623" w14:textId="18DDCD1C" w:rsidR="00E03130" w:rsidRPr="00A92E03" w:rsidRDefault="00E03130" w:rsidP="00E03130">
            <w:pPr>
              <w:rPr>
                <w:rFonts w:ascii="Work Sans" w:hAnsi="Work Sans" w:cs="Tahoma"/>
                <w:sz w:val="20"/>
                <w:szCs w:val="20"/>
              </w:rPr>
            </w:pPr>
            <w:r w:rsidRPr="00A92E03">
              <w:rPr>
                <w:rFonts w:ascii="Work Sans" w:hAnsi="Work Sans" w:cs="Tahoma"/>
                <w:sz w:val="20"/>
                <w:szCs w:val="20"/>
              </w:rPr>
              <w:lastRenderedPageBreak/>
              <w:t>Can I continue my apprenticeship with CKMP?</w:t>
            </w:r>
          </w:p>
        </w:tc>
        <w:tc>
          <w:tcPr>
            <w:tcW w:w="2501" w:type="pct"/>
          </w:tcPr>
          <w:p w14:paraId="483FDB3F" w14:textId="2C8A50AE" w:rsidR="00E03130" w:rsidRPr="00A92E03" w:rsidRDefault="00E03130" w:rsidP="00E03130">
            <w:pPr>
              <w:rPr>
                <w:rFonts w:ascii="Work Sans" w:hAnsi="Work Sans" w:cs="Tahoma"/>
                <w:sz w:val="20"/>
                <w:szCs w:val="20"/>
              </w:rPr>
            </w:pPr>
            <w:r>
              <w:rPr>
                <w:rFonts w:ascii="Work Sans" w:hAnsi="Work Sans" w:cs="Tahoma"/>
                <w:sz w:val="20"/>
                <w:szCs w:val="20"/>
              </w:rPr>
              <w:t xml:space="preserve">Yes, any apprenticeships already in place, or due to commence will be transferred to OM. We </w:t>
            </w:r>
            <w:r w:rsidRPr="00A92E03">
              <w:rPr>
                <w:rFonts w:ascii="Work Sans" w:hAnsi="Work Sans" w:cs="Tahoma"/>
                <w:sz w:val="20"/>
                <w:szCs w:val="20"/>
              </w:rPr>
              <w:t>have already begun exploring the best way to transfer existing apprenticeships</w:t>
            </w:r>
            <w:r>
              <w:rPr>
                <w:rFonts w:ascii="Work Sans" w:hAnsi="Work Sans" w:cs="Tahoma"/>
                <w:sz w:val="20"/>
                <w:szCs w:val="20"/>
              </w:rPr>
              <w:t xml:space="preserve"> with </w:t>
            </w:r>
            <w:proofErr w:type="spellStart"/>
            <w:r>
              <w:rPr>
                <w:rFonts w:ascii="Work Sans" w:hAnsi="Work Sans" w:cs="Tahoma"/>
                <w:sz w:val="20"/>
                <w:szCs w:val="20"/>
              </w:rPr>
              <w:t>BrisDoc</w:t>
            </w:r>
            <w:proofErr w:type="spellEnd"/>
            <w:r>
              <w:rPr>
                <w:rFonts w:ascii="Work Sans" w:hAnsi="Work Sans" w:cs="Tahoma"/>
                <w:sz w:val="20"/>
                <w:szCs w:val="20"/>
              </w:rPr>
              <w:t>.</w:t>
            </w:r>
          </w:p>
          <w:p w14:paraId="54CAD202" w14:textId="77777777" w:rsidR="00E03130" w:rsidRPr="00A92E03" w:rsidRDefault="00E03130" w:rsidP="00E03130">
            <w:pPr>
              <w:rPr>
                <w:rFonts w:ascii="Work Sans" w:hAnsi="Work Sans" w:cs="Tahoma"/>
                <w:sz w:val="20"/>
                <w:szCs w:val="20"/>
              </w:rPr>
            </w:pPr>
          </w:p>
        </w:tc>
      </w:tr>
      <w:tr w:rsidR="00E03130" w:rsidRPr="00A92E03" w14:paraId="60D3E02B" w14:textId="77777777" w:rsidTr="001A79D8">
        <w:tc>
          <w:tcPr>
            <w:tcW w:w="2499" w:type="pct"/>
          </w:tcPr>
          <w:p w14:paraId="1622920A" w14:textId="1B4E4367" w:rsidR="00E03130" w:rsidRPr="00A92E03" w:rsidRDefault="00E03130" w:rsidP="00E03130">
            <w:pPr>
              <w:rPr>
                <w:rFonts w:ascii="Work Sans" w:hAnsi="Work Sans" w:cs="Tahoma"/>
                <w:sz w:val="20"/>
                <w:szCs w:val="20"/>
              </w:rPr>
            </w:pPr>
            <w:r>
              <w:rPr>
                <w:rFonts w:ascii="Work Sans" w:hAnsi="Work Sans" w:cs="Tahoma"/>
                <w:sz w:val="20"/>
                <w:szCs w:val="20"/>
              </w:rPr>
              <w:t xml:space="preserve">Can I transfer the mandatory training I have already completed through </w:t>
            </w:r>
            <w:proofErr w:type="spellStart"/>
            <w:r>
              <w:rPr>
                <w:rFonts w:ascii="Work Sans" w:hAnsi="Work Sans" w:cs="Tahoma"/>
                <w:sz w:val="20"/>
                <w:szCs w:val="20"/>
              </w:rPr>
              <w:t>BrisDoc</w:t>
            </w:r>
            <w:proofErr w:type="spellEnd"/>
            <w:r>
              <w:rPr>
                <w:rFonts w:ascii="Work Sans" w:hAnsi="Work Sans" w:cs="Tahoma"/>
                <w:sz w:val="20"/>
                <w:szCs w:val="20"/>
              </w:rPr>
              <w:t>?</w:t>
            </w:r>
          </w:p>
        </w:tc>
        <w:tc>
          <w:tcPr>
            <w:tcW w:w="2501" w:type="pct"/>
          </w:tcPr>
          <w:p w14:paraId="47494474" w14:textId="5145DE07" w:rsidR="00E03130" w:rsidRPr="00A92E03" w:rsidRDefault="00E03130" w:rsidP="00E03130">
            <w:pPr>
              <w:rPr>
                <w:rFonts w:ascii="Work Sans" w:hAnsi="Work Sans" w:cs="Tahoma"/>
                <w:sz w:val="20"/>
                <w:szCs w:val="20"/>
              </w:rPr>
            </w:pPr>
            <w:r>
              <w:rPr>
                <w:rFonts w:ascii="Work Sans" w:hAnsi="Work Sans" w:cs="Tahoma"/>
                <w:sz w:val="20"/>
                <w:szCs w:val="20"/>
              </w:rPr>
              <w:t xml:space="preserve">Yes. OM uses E-learning for Health and recognises any previous training certificates. </w:t>
            </w:r>
          </w:p>
        </w:tc>
      </w:tr>
      <w:tr w:rsidR="00EF03C2" w:rsidRPr="00A92E03" w14:paraId="484D2AA7" w14:textId="77777777" w:rsidTr="001A79D8">
        <w:tc>
          <w:tcPr>
            <w:tcW w:w="2499" w:type="pct"/>
          </w:tcPr>
          <w:p w14:paraId="548EF720" w14:textId="436B9E62" w:rsidR="00EF03C2" w:rsidRDefault="00EF03C2" w:rsidP="00E03130">
            <w:pPr>
              <w:rPr>
                <w:rFonts w:ascii="Work Sans" w:hAnsi="Work Sans" w:cs="Tahoma"/>
                <w:sz w:val="20"/>
                <w:szCs w:val="20"/>
              </w:rPr>
            </w:pPr>
            <w:r>
              <w:rPr>
                <w:rFonts w:ascii="Work Sans" w:hAnsi="Work Sans" w:cs="Tahoma"/>
                <w:sz w:val="20"/>
                <w:szCs w:val="20"/>
              </w:rPr>
              <w:t>Will I get to keep my NHS pension?</w:t>
            </w:r>
          </w:p>
        </w:tc>
        <w:tc>
          <w:tcPr>
            <w:tcW w:w="2501" w:type="pct"/>
          </w:tcPr>
          <w:p w14:paraId="5110D574" w14:textId="0FBDCE4A" w:rsidR="00EF03C2" w:rsidRPr="00EF03C2" w:rsidRDefault="00EF03C2" w:rsidP="00EF03C2">
            <w:pPr>
              <w:rPr>
                <w:rFonts w:ascii="Work Sans" w:hAnsi="Work Sans" w:cs="Tahoma"/>
                <w:sz w:val="20"/>
                <w:szCs w:val="20"/>
              </w:rPr>
            </w:pPr>
            <w:r w:rsidRPr="00EF03C2">
              <w:rPr>
                <w:rFonts w:ascii="Work Sans" w:hAnsi="Work Sans" w:cs="Tahoma"/>
                <w:sz w:val="20"/>
                <w:szCs w:val="20"/>
              </w:rPr>
              <w:t>All existing NHS pension scheme arrangements will be honoured</w:t>
            </w:r>
            <w:r>
              <w:rPr>
                <w:rFonts w:ascii="Work Sans" w:hAnsi="Work Sans" w:cs="Tahoma"/>
                <w:sz w:val="20"/>
                <w:szCs w:val="20"/>
              </w:rPr>
              <w:t>, including the contributions</w:t>
            </w:r>
            <w:r w:rsidRPr="00EF03C2">
              <w:rPr>
                <w:rFonts w:ascii="Work Sans" w:hAnsi="Work Sans" w:cs="Tahoma"/>
                <w:sz w:val="20"/>
                <w:szCs w:val="20"/>
              </w:rPr>
              <w:t xml:space="preserve">. Employees will have the option to opt out of this and enrol into the corporate pension with The People’s Pension. Further details will be provided as part of our new </w:t>
            </w:r>
            <w:proofErr w:type="gramStart"/>
            <w:r w:rsidRPr="00EF03C2">
              <w:rPr>
                <w:rFonts w:ascii="Work Sans" w:hAnsi="Work Sans" w:cs="Tahoma"/>
                <w:sz w:val="20"/>
                <w:szCs w:val="20"/>
              </w:rPr>
              <w:t>starters</w:t>
            </w:r>
            <w:proofErr w:type="gramEnd"/>
            <w:r w:rsidRPr="00EF03C2">
              <w:rPr>
                <w:rFonts w:ascii="Work Sans" w:hAnsi="Work Sans" w:cs="Tahoma"/>
                <w:sz w:val="20"/>
                <w:szCs w:val="20"/>
              </w:rPr>
              <w:t xml:space="preserve"> packs issued to each transferring employee. </w:t>
            </w:r>
          </w:p>
          <w:p w14:paraId="0BAB5E4B" w14:textId="77777777" w:rsidR="00EF03C2" w:rsidRDefault="00EF03C2" w:rsidP="00EF03C2">
            <w:pPr>
              <w:rPr>
                <w:rFonts w:ascii="Work Sans" w:hAnsi="Work Sans" w:cs="Tahoma"/>
                <w:sz w:val="20"/>
                <w:szCs w:val="20"/>
              </w:rPr>
            </w:pPr>
          </w:p>
        </w:tc>
      </w:tr>
      <w:tr w:rsidR="00EF03C2" w:rsidRPr="00A92E03" w14:paraId="6E122A04" w14:textId="77777777" w:rsidTr="001A79D8">
        <w:tc>
          <w:tcPr>
            <w:tcW w:w="2499" w:type="pct"/>
          </w:tcPr>
          <w:p w14:paraId="47F9072D" w14:textId="5D1AD296" w:rsidR="00EF03C2" w:rsidRDefault="00EF03C2" w:rsidP="00E03130">
            <w:pPr>
              <w:rPr>
                <w:rFonts w:ascii="Work Sans" w:hAnsi="Work Sans" w:cs="Tahoma"/>
                <w:sz w:val="20"/>
                <w:szCs w:val="20"/>
              </w:rPr>
            </w:pPr>
            <w:r>
              <w:rPr>
                <w:rFonts w:ascii="Work Sans" w:hAnsi="Work Sans" w:cs="Tahoma"/>
                <w:sz w:val="20"/>
                <w:szCs w:val="20"/>
              </w:rPr>
              <w:t xml:space="preserve">Does OMG have a uniform? </w:t>
            </w:r>
          </w:p>
        </w:tc>
        <w:tc>
          <w:tcPr>
            <w:tcW w:w="2501" w:type="pct"/>
          </w:tcPr>
          <w:p w14:paraId="379519F9" w14:textId="2F276B25" w:rsidR="00EF03C2" w:rsidRPr="00EF03C2" w:rsidRDefault="00EF03C2" w:rsidP="00EF03C2">
            <w:pPr>
              <w:rPr>
                <w:rFonts w:ascii="Work Sans" w:hAnsi="Work Sans" w:cs="Tahoma"/>
                <w:sz w:val="20"/>
                <w:szCs w:val="20"/>
              </w:rPr>
            </w:pPr>
            <w:r>
              <w:rPr>
                <w:rFonts w:ascii="Work Sans" w:hAnsi="Work Sans" w:cs="Tahoma"/>
                <w:sz w:val="20"/>
                <w:szCs w:val="20"/>
              </w:rPr>
              <w:t>All our sites wear a uniform</w:t>
            </w:r>
            <w:r w:rsidR="00C34242">
              <w:rPr>
                <w:rFonts w:ascii="Work Sans" w:hAnsi="Work Sans" w:cs="Tahoma"/>
                <w:sz w:val="20"/>
                <w:szCs w:val="20"/>
              </w:rPr>
              <w:t xml:space="preserve">. </w:t>
            </w:r>
            <w:r>
              <w:rPr>
                <w:rFonts w:ascii="Work Sans" w:hAnsi="Work Sans" w:cs="Tahoma"/>
                <w:sz w:val="20"/>
                <w:szCs w:val="20"/>
              </w:rPr>
              <w:t xml:space="preserve">Sites are free to </w:t>
            </w:r>
            <w:r w:rsidR="00F06246">
              <w:rPr>
                <w:rFonts w:ascii="Work Sans" w:hAnsi="Work Sans" w:cs="Tahoma"/>
                <w:sz w:val="20"/>
                <w:szCs w:val="20"/>
              </w:rPr>
              <w:t>choose</w:t>
            </w:r>
            <w:r>
              <w:rPr>
                <w:rFonts w:ascii="Work Sans" w:hAnsi="Work Sans" w:cs="Tahoma"/>
                <w:sz w:val="20"/>
                <w:szCs w:val="20"/>
              </w:rPr>
              <w:t xml:space="preserve"> their </w:t>
            </w:r>
            <w:r w:rsidR="00F06246">
              <w:rPr>
                <w:rFonts w:ascii="Work Sans" w:hAnsi="Work Sans" w:cs="Tahoma"/>
                <w:sz w:val="20"/>
                <w:szCs w:val="20"/>
              </w:rPr>
              <w:t>preferred</w:t>
            </w:r>
            <w:r>
              <w:rPr>
                <w:rFonts w:ascii="Work Sans" w:hAnsi="Work Sans" w:cs="Tahoma"/>
                <w:sz w:val="20"/>
                <w:szCs w:val="20"/>
              </w:rPr>
              <w:t xml:space="preserve"> colour</w:t>
            </w:r>
            <w:r w:rsidR="00F06246">
              <w:rPr>
                <w:rFonts w:ascii="Work Sans" w:hAnsi="Work Sans" w:cs="Tahoma"/>
                <w:sz w:val="20"/>
                <w:szCs w:val="20"/>
              </w:rPr>
              <w:t xml:space="preserve"> of scrubs for each team or function and will be provided with the details for ordering this ahead of the transfer.</w:t>
            </w:r>
          </w:p>
        </w:tc>
      </w:tr>
    </w:tbl>
    <w:p w14:paraId="6149372C" w14:textId="77777777" w:rsidR="00044978" w:rsidRPr="00A92E03" w:rsidRDefault="00044978" w:rsidP="00044978">
      <w:pPr>
        <w:rPr>
          <w:rFonts w:ascii="Work Sans" w:hAnsi="Work Sans"/>
        </w:rPr>
      </w:pPr>
    </w:p>
    <w:p w14:paraId="50D68759" w14:textId="77777777" w:rsidR="008C1147" w:rsidRPr="00A92E03" w:rsidRDefault="008C1147" w:rsidP="00044978">
      <w:pPr>
        <w:rPr>
          <w:rFonts w:ascii="Work Sans" w:hAnsi="Work Sans"/>
        </w:rPr>
      </w:pPr>
    </w:p>
    <w:p w14:paraId="51133E8B" w14:textId="77777777" w:rsidR="008C1147" w:rsidRPr="00A92E03" w:rsidRDefault="008C1147" w:rsidP="00044978">
      <w:pPr>
        <w:rPr>
          <w:rFonts w:ascii="Work Sans" w:hAnsi="Work Sans"/>
        </w:rPr>
      </w:pPr>
      <w:r w:rsidRPr="00A92E03">
        <w:rPr>
          <w:rFonts w:ascii="Work Sans" w:hAnsi="Work Sans"/>
        </w:rPr>
        <w:t xml:space="preserve">For any other questions or queries please email: </w:t>
      </w:r>
      <w:hyperlink r:id="rId6" w:history="1">
        <w:r w:rsidRPr="00A92E03">
          <w:rPr>
            <w:rStyle w:val="Hyperlink"/>
            <w:rFonts w:ascii="Work Sans" w:hAnsi="Work Sans"/>
          </w:rPr>
          <w:t>HR@onemedicalgroup.co.uk</w:t>
        </w:r>
      </w:hyperlink>
      <w:r w:rsidRPr="00A92E03">
        <w:rPr>
          <w:rFonts w:ascii="Work Sans" w:hAnsi="Work Sans"/>
        </w:rPr>
        <w:t xml:space="preserve"> </w:t>
      </w:r>
    </w:p>
    <w:sectPr w:rsidR="008C1147" w:rsidRPr="00A92E03" w:rsidSect="00B9206C">
      <w:headerReference w:type="default" r:id="rId7"/>
      <w:pgSz w:w="11906" w:h="16838"/>
      <w:pgMar w:top="16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3F98" w14:textId="77777777" w:rsidR="0099687D" w:rsidRDefault="0099687D" w:rsidP="00044978">
      <w:r>
        <w:separator/>
      </w:r>
    </w:p>
  </w:endnote>
  <w:endnote w:type="continuationSeparator" w:id="0">
    <w:p w14:paraId="5E0FE623" w14:textId="77777777" w:rsidR="0099687D" w:rsidRDefault="0099687D" w:rsidP="0004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EB65" w14:textId="77777777" w:rsidR="0099687D" w:rsidRDefault="0099687D" w:rsidP="00044978">
      <w:r>
        <w:separator/>
      </w:r>
    </w:p>
  </w:footnote>
  <w:footnote w:type="continuationSeparator" w:id="0">
    <w:p w14:paraId="042EDB7D" w14:textId="77777777" w:rsidR="0099687D" w:rsidRDefault="0099687D" w:rsidP="0004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265E" w14:textId="77777777" w:rsidR="00044978" w:rsidRDefault="00044978" w:rsidP="00044978">
    <w:pPr>
      <w:pStyle w:val="Header"/>
      <w:rPr>
        <w:sz w:val="24"/>
      </w:rPr>
    </w:pPr>
    <w:r>
      <w:rPr>
        <w:noProof/>
        <w:lang w:eastAsia="en-GB"/>
      </w:rPr>
      <w:drawing>
        <wp:anchor distT="0" distB="0" distL="114300" distR="114300" simplePos="0" relativeHeight="251659264" behindDoc="1" locked="0" layoutInCell="1" allowOverlap="1" wp14:anchorId="6E3421EC" wp14:editId="7175EBD0">
          <wp:simplePos x="0" y="0"/>
          <wp:positionH relativeFrom="page">
            <wp:posOffset>271780</wp:posOffset>
          </wp:positionH>
          <wp:positionV relativeFrom="paragraph">
            <wp:posOffset>-362585</wp:posOffset>
          </wp:positionV>
          <wp:extent cx="2667000" cy="976630"/>
          <wp:effectExtent l="0" t="0" r="0" b="0"/>
          <wp:wrapTight wrapText="bothSides">
            <wp:wrapPolygon edited="0">
              <wp:start x="3086" y="2107"/>
              <wp:lineTo x="1389" y="5056"/>
              <wp:lineTo x="1080" y="9691"/>
              <wp:lineTo x="1080" y="11797"/>
              <wp:lineTo x="1234" y="13904"/>
              <wp:lineTo x="2006" y="16432"/>
              <wp:lineTo x="3086" y="18960"/>
              <wp:lineTo x="4937" y="18960"/>
              <wp:lineTo x="19286" y="17696"/>
              <wp:lineTo x="19594" y="8427"/>
              <wp:lineTo x="4937" y="2107"/>
              <wp:lineTo x="3086" y="210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eMedicalGroup.png"/>
                  <pic:cNvPicPr/>
                </pic:nvPicPr>
                <pic:blipFill>
                  <a:blip r:embed="rId1">
                    <a:extLst>
                      <a:ext uri="{28A0092B-C50C-407E-A947-70E740481C1C}">
                        <a14:useLocalDpi xmlns:a14="http://schemas.microsoft.com/office/drawing/2010/main" val="0"/>
                      </a:ext>
                    </a:extLst>
                  </a:blip>
                  <a:stretch>
                    <a:fillRect/>
                  </a:stretch>
                </pic:blipFill>
                <pic:spPr>
                  <a:xfrm>
                    <a:off x="0" y="0"/>
                    <a:ext cx="2667000" cy="976630"/>
                  </a:xfrm>
                  <a:prstGeom prst="rect">
                    <a:avLst/>
                  </a:prstGeom>
                </pic:spPr>
              </pic:pic>
            </a:graphicData>
          </a:graphic>
          <wp14:sizeRelH relativeFrom="page">
            <wp14:pctWidth>0</wp14:pctWidth>
          </wp14:sizeRelH>
          <wp14:sizeRelV relativeFrom="page">
            <wp14:pctHeight>0</wp14:pctHeight>
          </wp14:sizeRelV>
        </wp:anchor>
      </w:drawing>
    </w:r>
  </w:p>
  <w:p w14:paraId="4EDEB659" w14:textId="77777777" w:rsidR="00044978" w:rsidRDefault="00044978" w:rsidP="00044978">
    <w:pPr>
      <w:pStyle w:val="Header"/>
      <w:rPr>
        <w:sz w:val="24"/>
      </w:rPr>
    </w:pPr>
  </w:p>
  <w:p w14:paraId="510648C7" w14:textId="77777777" w:rsidR="00044978" w:rsidRDefault="00044978" w:rsidP="00044978">
    <w:pPr>
      <w:pStyle w:val="Header"/>
      <w:rPr>
        <w:sz w:val="24"/>
      </w:rPr>
    </w:pPr>
  </w:p>
  <w:p w14:paraId="7922C8F7" w14:textId="77777777" w:rsidR="00044978" w:rsidRPr="00044978" w:rsidRDefault="00044978" w:rsidP="00044978">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78"/>
    <w:rsid w:val="00044978"/>
    <w:rsid w:val="000C4A70"/>
    <w:rsid w:val="00172DC4"/>
    <w:rsid w:val="001A79D8"/>
    <w:rsid w:val="00534076"/>
    <w:rsid w:val="00713F5F"/>
    <w:rsid w:val="00854EF7"/>
    <w:rsid w:val="008C1147"/>
    <w:rsid w:val="0099687D"/>
    <w:rsid w:val="00A92E03"/>
    <w:rsid w:val="00B9206C"/>
    <w:rsid w:val="00C24FDE"/>
    <w:rsid w:val="00C34242"/>
    <w:rsid w:val="00E03130"/>
    <w:rsid w:val="00EE3E8C"/>
    <w:rsid w:val="00EF03C2"/>
    <w:rsid w:val="00F06246"/>
    <w:rsid w:val="00FD5C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F3FCA"/>
  <w15:chartTrackingRefBased/>
  <w15:docId w15:val="{17690E76-9809-4319-92A8-B8DB1AD9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78"/>
    <w:pPr>
      <w:tabs>
        <w:tab w:val="center" w:pos="4513"/>
        <w:tab w:val="right" w:pos="9026"/>
      </w:tabs>
    </w:pPr>
  </w:style>
  <w:style w:type="character" w:customStyle="1" w:styleId="HeaderChar">
    <w:name w:val="Header Char"/>
    <w:basedOn w:val="DefaultParagraphFont"/>
    <w:link w:val="Header"/>
    <w:uiPriority w:val="99"/>
    <w:rsid w:val="00044978"/>
    <w:rPr>
      <w:rFonts w:ascii="Calibri" w:hAnsi="Calibri" w:cs="Calibri"/>
    </w:rPr>
  </w:style>
  <w:style w:type="paragraph" w:styleId="Footer">
    <w:name w:val="footer"/>
    <w:basedOn w:val="Normal"/>
    <w:link w:val="FooterChar"/>
    <w:uiPriority w:val="99"/>
    <w:unhideWhenUsed/>
    <w:rsid w:val="00044978"/>
    <w:pPr>
      <w:tabs>
        <w:tab w:val="center" w:pos="4513"/>
        <w:tab w:val="right" w:pos="9026"/>
      </w:tabs>
    </w:pPr>
  </w:style>
  <w:style w:type="character" w:customStyle="1" w:styleId="FooterChar">
    <w:name w:val="Footer Char"/>
    <w:basedOn w:val="DefaultParagraphFont"/>
    <w:link w:val="Footer"/>
    <w:uiPriority w:val="99"/>
    <w:rsid w:val="00044978"/>
    <w:rPr>
      <w:rFonts w:ascii="Calibri" w:hAnsi="Calibri" w:cs="Calibri"/>
    </w:rPr>
  </w:style>
  <w:style w:type="paragraph" w:styleId="BalloonText">
    <w:name w:val="Balloon Text"/>
    <w:basedOn w:val="Normal"/>
    <w:link w:val="BalloonTextChar"/>
    <w:uiPriority w:val="99"/>
    <w:semiHidden/>
    <w:unhideWhenUsed/>
    <w:rsid w:val="00EE3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E8C"/>
    <w:rPr>
      <w:rFonts w:ascii="Segoe UI" w:hAnsi="Segoe UI" w:cs="Segoe UI"/>
      <w:sz w:val="18"/>
      <w:szCs w:val="18"/>
    </w:rPr>
  </w:style>
  <w:style w:type="character" w:styleId="CommentReference">
    <w:name w:val="annotation reference"/>
    <w:basedOn w:val="DefaultParagraphFont"/>
    <w:uiPriority w:val="99"/>
    <w:semiHidden/>
    <w:unhideWhenUsed/>
    <w:rsid w:val="00EE3E8C"/>
    <w:rPr>
      <w:sz w:val="16"/>
      <w:szCs w:val="16"/>
    </w:rPr>
  </w:style>
  <w:style w:type="paragraph" w:styleId="CommentText">
    <w:name w:val="annotation text"/>
    <w:basedOn w:val="Normal"/>
    <w:link w:val="CommentTextChar"/>
    <w:uiPriority w:val="99"/>
    <w:semiHidden/>
    <w:unhideWhenUsed/>
    <w:rsid w:val="00EE3E8C"/>
    <w:rPr>
      <w:sz w:val="20"/>
      <w:szCs w:val="20"/>
    </w:rPr>
  </w:style>
  <w:style w:type="character" w:customStyle="1" w:styleId="CommentTextChar">
    <w:name w:val="Comment Text Char"/>
    <w:basedOn w:val="DefaultParagraphFont"/>
    <w:link w:val="CommentText"/>
    <w:uiPriority w:val="99"/>
    <w:semiHidden/>
    <w:rsid w:val="00EE3E8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3E8C"/>
    <w:rPr>
      <w:b/>
      <w:bCs/>
    </w:rPr>
  </w:style>
  <w:style w:type="character" w:customStyle="1" w:styleId="CommentSubjectChar">
    <w:name w:val="Comment Subject Char"/>
    <w:basedOn w:val="CommentTextChar"/>
    <w:link w:val="CommentSubject"/>
    <w:uiPriority w:val="99"/>
    <w:semiHidden/>
    <w:rsid w:val="00EE3E8C"/>
    <w:rPr>
      <w:rFonts w:ascii="Calibri" w:hAnsi="Calibri" w:cs="Calibri"/>
      <w:b/>
      <w:bCs/>
      <w:sz w:val="20"/>
      <w:szCs w:val="20"/>
    </w:rPr>
  </w:style>
  <w:style w:type="character" w:styleId="Hyperlink">
    <w:name w:val="Hyperlink"/>
    <w:basedOn w:val="DefaultParagraphFont"/>
    <w:uiPriority w:val="99"/>
    <w:unhideWhenUsed/>
    <w:rsid w:val="008C1147"/>
    <w:rPr>
      <w:color w:val="0563C1" w:themeColor="hyperlink"/>
      <w:u w:val="single"/>
    </w:rPr>
  </w:style>
  <w:style w:type="table" w:styleId="TableGrid">
    <w:name w:val="Table Grid"/>
    <w:basedOn w:val="TableNormal"/>
    <w:uiPriority w:val="39"/>
    <w:rsid w:val="00E0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onemedicalgroup.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Munir</dc:creator>
  <cp:keywords/>
  <dc:description/>
  <cp:lastModifiedBy>Aisha Munir</cp:lastModifiedBy>
  <cp:revision>2</cp:revision>
  <dcterms:created xsi:type="dcterms:W3CDTF">2023-06-01T18:45:00Z</dcterms:created>
  <dcterms:modified xsi:type="dcterms:W3CDTF">2023-06-01T18:45:00Z</dcterms:modified>
</cp:coreProperties>
</file>